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发展和改革委员会</w:t>
      </w:r>
      <w:r>
        <w:rPr>
          <w:rFonts w:hint="eastAsia" w:ascii="黑体" w:hAnsi="黑体" w:eastAsia="黑体" w:cs="黑体"/>
          <w:lang w:val="en-US" w:eastAsia="zh-CN"/>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发展和改革委员会</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发展和改革委员会</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发展和改革委员会</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发展和改革委员会</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widowControl/>
        <w:shd w:val="clear" w:color="auto" w:fill="FFFFFF"/>
        <w:spacing w:line="315" w:lineRule="atLeast"/>
        <w:ind w:firstLine="1366" w:firstLineChars="427"/>
        <w:jc w:val="left"/>
        <w:rPr>
          <w:rFonts w:hint="eastAsia" w:ascii="仿宋_GB2312" w:hAnsi="仿宋" w:eastAsia="仿宋_GB2312"/>
          <w:sz w:val="32"/>
          <w:szCs w:val="32"/>
        </w:rPr>
      </w:pPr>
      <w:r>
        <w:rPr>
          <w:rFonts w:hint="eastAsia" w:ascii="仿宋_GB2312" w:hAnsi="仿宋" w:eastAsia="仿宋_GB2312"/>
          <w:sz w:val="32"/>
          <w:szCs w:val="32"/>
        </w:rPr>
        <w:t>1．主要职能。</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一)拟订并组织实施全市国民经济和社会发展战略、中长期规划和年度计划，统筹协调经济社会发展，研究分析国内外经济形势，提出全市国民经济发展、价格总水平调控和优化重大经济结构的目标、政策，提出综合运用各种经济手段和政策的建议，受市政府委托向市人大提交全市国民经济和社会发展计划报告。</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(二)负责监测全市宏观经济和社会发展态势，研究全市宏观经济运行、总量平衡、经济安全和总体产业安全等重要问题并提出宏观调控政策建议，负责协调解决经济运行中的重大问题，调节经济运行。</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三)负责汇总分析全市财政、金融等方面的情况，参与制定全市财政政策和土地政策，拟订并组织实施价格政策，综合分析财政、金融、土地政策的执行效果，监督检查价格政策的执行。负责组织制定和调整少数由市政府管理的重要商品价格和重要收费标准，依法查处价格违法行为和价格垄断行为等。</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四)承担指导推进和综合协调经济体制改革的责任，研究全市经济体制改革和对外开放的重大问题，组织拟订综合性经济体制改革方案，协调有关专项经济体制改革方案，会同有关部门搞好重要专项经济体制改革之间的衔接，指导经济体制改革试点和改革试验区工作。</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五)承担规划全市重大建设项目和生产力布局的责任，拟订全社会固定资产投资总规模和投资结构的调控目标、政策及措施，衔接平衡需要安排中央、省、市级财政性投资和涉及重大建设项目的专项规划。统筹安排市级财政性建设资金，按国家和省、市政府规定权限审批、核准、审核重大建设项目、重大外资项目、境外资源开发类重大投资项目和大额用汇投资项目。审查建设项目设计方案，核定工程概算，控制投资规模。负责全市全口径外债的总量控制、结构优化和监测工作，指导和监督全市国外贷款建设资金的使用，引导民间投资的方向，研究提出全市利用外资和境外投资的战略、规划、总量平衡和结构优化的目标和政策。组织开展全市重大建设项目稽察。指导全市工程咨询业发展。</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六)推进经济结构战略性调整。组织拟订全市综合性产业政策，负责协调第一、二、三产业发展的重大问题并衔接平衡相关发展规划和重大政策，做好与全市国民经济和社会发展规划、计划的衔接平衡;协调全市农业和农村经济社会发展的重大问题，衔接农业、林业、水利、气象等专项规划和政策;会间有关部门拟订全市服务业发展战略和重大政策，拟订现代物流业发展战略、规划，组织拟订高技术产业发展、产业技术进步的战略、规划和重大政策，协调解决重大技术装备推广应用等方面的重大问题。</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七)承担组织编制全市主体功能区规划并协调实施和监测评估的责任，组织拟订全市区域协调发展的战略、规划和重大政策，研究提出全市城镇化发展战略和重大政策，安排以工代赈资金，组织实施以工代赈项目，负责全市地区经济协作的统筹协调。</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八)承担全市重要商品总量平衡和宏观调控的责任，编制外贸进出口发展规划和年度计划以及全市重要求产品、工业品和原材料进出口总量计划并监督执行根据经济运行情况对进出口总量计划进行调整，拟订全市战略物资储备规划，负责组织战略物资的收储、动用、轮换和管理会同有关部门管理国家粮食、棉花和食糖等储备。</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九)负责全市社会发展与国民经济发展的政策衔接，组织拟订全市社会发展战略、总体规划和年度计划，参与拟订人口和计划生育、科学技术、教育、文化、卫生、民政等发展政策，推进社会事业建设，研究提出促进就业、调整收入分配、完善社会保障与经济协调发展的政策建议，协调社会事业发展和改革中的重大问题及政策。</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十)推进全市可持续发展战略，负责节能减排的综合协调和全市应对气候变化工作组织拟订发展循环经济、全社会能源资源节约和综合利用规划及政策措施并协调实施，参与编制生态建设、环境保护规划，协调生态建设、能源资源节约和综合利用的重大问题，综合协调环保产业和清洁生产促进有关工作。</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十一）研究提出能源发展战略的建议，在全市经济社会发展总体规划的框架内，拟订能源发展规划、产业政策并组织实施，推进能源体制改革，拟订有关改革方案，组织实施国家关于能源方面的规划、政策和改革方案，协调能源发展和改革中的重大问题。按国家和省、市政府规定权限，审批、核准、审核规划内和年度计划规模内能源固定资产投资项目。</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(十二) 拟订年度市重点工程项目计划，会同有关部门提出年省、国家重点工程申报名单；审核有关项目开工报告，牵头做好项目征地拆迁工作，拟订有关市重点工程建设的法规、规章和规范性文件。</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(十三)起草全市国民经济和社会发展、经济体制改革和对外开放的有关地方性政策和规章制度草案。指导和协调全市招标投标工作。</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(十四)组织编制全市国民经济动员规划、计划，研究国民经济动员与国民经济、国防建设的关系，协调相关重大问题，组织实施国民经济动员有关工作。</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(十五)承办市人民政府交办的其他事项。</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widowControl/>
        <w:shd w:val="clear" w:color="auto" w:fill="FFFFFF"/>
        <w:spacing w:line="315" w:lineRule="atLeast"/>
        <w:ind w:firstLine="480"/>
        <w:jc w:val="left"/>
        <w:rPr>
          <w:rFonts w:hint="eastAsia" w:ascii="仿宋_GB2312" w:hAnsi="仿宋" w:eastAsia="仿宋_GB2312"/>
          <w:sz w:val="32"/>
          <w:szCs w:val="32"/>
        </w:rPr>
      </w:pPr>
      <w:r>
        <w:rPr>
          <w:rFonts w:hint="eastAsia" w:ascii="仿宋_GB2312" w:hAnsi="仿宋" w:eastAsia="仿宋_GB2312"/>
          <w:sz w:val="32"/>
          <w:szCs w:val="32"/>
        </w:rPr>
        <w:t xml:space="preserve">  本部门共有预算单位7个，即部门本级和6个二级单位景德镇市发展改革委员会本级、景德镇市政务信息化管理局、景德镇市资源型城市转型办公室、景德镇市农业利用外资办公室、景德镇市铁路建设办公室、景德镇市节能中心、景德镇市价格认证中心</w:t>
      </w:r>
      <w:r>
        <w:rPr>
          <w:rFonts w:hint="eastAsia" w:ascii="仿宋_GB2312" w:hAnsi="仿宋" w:eastAsia="仿宋_GB2312"/>
          <w:sz w:val="32"/>
          <w:szCs w:val="32"/>
          <w:lang w:eastAsia="zh-CN"/>
        </w:rPr>
        <w:t>。</w:t>
      </w:r>
      <w:r>
        <w:rPr>
          <w:rFonts w:hint="eastAsia" w:ascii="仿宋_GB2312" w:hAnsi="仿宋_GB2312" w:eastAsia="仿宋_GB2312" w:cs="仿宋_GB2312"/>
          <w:sz w:val="32"/>
          <w:szCs w:val="32"/>
        </w:rPr>
        <w:t>编制数为101人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其中行政编制48人、参照公务员管理事业编制31人、全额补助事业编制22人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实有人数153人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其中在职92人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包括行政50人、参照公务员管理20人、全额补助22人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退休61人。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发展和改革委员会</w:t>
      </w:r>
      <w:bookmarkStart w:id="0" w:name="_GoBack"/>
      <w:bookmarkEnd w:id="0"/>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发展和改革委员会</w:t>
      </w:r>
      <w:r>
        <w:rPr>
          <w:rFonts w:hint="eastAsia" w:ascii="仿宋_GB2312" w:hAnsi="宋体" w:eastAsia="仿宋_GB2312" w:cs="仿宋_GB2312"/>
          <w:sz w:val="32"/>
          <w:szCs w:val="32"/>
        </w:rPr>
        <w:t>收入预算总额为1915万元，与上年预算相比</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311.97万元下降14%主要原因为2020年上年结余134.18万元比2019年上年结余492.74万元减少了358.53万元</w:t>
      </w:r>
      <w:r>
        <w:rPr>
          <w:rFonts w:hint="eastAsia" w:ascii="仿宋_GB2312" w:hAnsi="宋体" w:eastAsia="仿宋_GB2312" w:cs="仿宋_GB2312"/>
          <w:sz w:val="32"/>
          <w:szCs w:val="32"/>
        </w:rPr>
        <w:t>。其中：当年公共财政拨款收入1780.82万元，占收入预算总额的</w:t>
      </w:r>
      <w:r>
        <w:rPr>
          <w:rFonts w:hint="eastAsia" w:ascii="仿宋_GB2312" w:hAnsi="宋体" w:eastAsia="仿宋_GB2312" w:cs="仿宋_GB2312"/>
          <w:sz w:val="32"/>
          <w:szCs w:val="32"/>
          <w:lang w:val="en-US" w:eastAsia="zh-CN"/>
        </w:rPr>
        <w:t>92.99</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134.18</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7.01</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发展和改革委员会</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1915</w:t>
      </w:r>
      <w:r>
        <w:rPr>
          <w:rFonts w:hint="eastAsia" w:ascii="仿宋_GB2312" w:hAnsi="宋体" w:eastAsia="仿宋_GB2312" w:cs="仿宋_GB2312"/>
          <w:sz w:val="32"/>
          <w:szCs w:val="32"/>
        </w:rPr>
        <w:t>万元，与上年预算相比增减变化，与上年预算相比</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311.97万元下降14%主要原因为2020年上年结余134.18万元比2019年上年结余492.74万元减少了358.53万元</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1607.85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83.96</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1310.97</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293.52</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3.36</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307.15</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16.04</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266</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23</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18.15</w:t>
      </w:r>
      <w:r>
        <w:rPr>
          <w:rFonts w:hint="eastAsia" w:ascii="仿宋_GB2312" w:hAnsi="宋体"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按支出功能项目科目划分：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一般公共服务支出</w:t>
      </w:r>
      <w:r>
        <w:rPr>
          <w:rFonts w:hint="eastAsia" w:ascii="仿宋_GB2312" w:hAnsi="仿宋_GB2312" w:eastAsia="仿宋_GB2312" w:cs="仿宋_GB2312"/>
          <w:sz w:val="32"/>
          <w:szCs w:val="32"/>
          <w:lang w:val="en-US" w:eastAsia="zh-CN"/>
        </w:rPr>
        <w:t>1641.30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占公共财政拨款支出预算的8</w:t>
      </w:r>
      <w:r>
        <w:rPr>
          <w:rFonts w:hint="eastAsia" w:ascii="仿宋_GB2312" w:hAnsi="仿宋_GB2312" w:eastAsia="仿宋_GB2312" w:cs="仿宋_GB2312"/>
          <w:sz w:val="32"/>
          <w:szCs w:val="32"/>
          <w:lang w:val="en-US" w:eastAsia="zh-CN"/>
        </w:rPr>
        <w:t>5.71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社会保障和就业支出102.57万元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占公共财政拨款支出预算的5.</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卫生健康支出97.12万元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占公共财政拨款支出预算的5.</w:t>
      </w:r>
      <w:r>
        <w:rPr>
          <w:rFonts w:hint="eastAsia" w:ascii="仿宋_GB2312" w:hAnsi="仿宋_GB2312" w:eastAsia="仿宋_GB2312" w:cs="仿宋_GB2312"/>
          <w:sz w:val="32"/>
          <w:szCs w:val="32"/>
          <w:lang w:val="en-US" w:eastAsia="zh-CN"/>
        </w:rPr>
        <w:t>07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住房保障支出74.01万元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w:t>
      </w:r>
      <w:r>
        <w:rPr>
          <w:rFonts w:hint="eastAsia" w:ascii="仿宋_GB2312" w:hAnsi="仿宋_GB2312" w:eastAsia="仿宋_GB2312" w:cs="仿宋_GB2312"/>
          <w:sz w:val="32"/>
          <w:szCs w:val="32"/>
          <w:lang w:val="en-US" w:eastAsia="zh-CN"/>
        </w:rPr>
        <w:t>3.86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1310.97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68.45</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559.52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29.22</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3.36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0.18</w:t>
      </w:r>
      <w:r>
        <w:rPr>
          <w:rFonts w:ascii="仿宋_GB2312" w:hAnsi="宋体" w:eastAsia="仿宋_GB2312" w:cs="仿宋_GB2312"/>
          <w:sz w:val="32"/>
          <w:szCs w:val="32"/>
        </w:rPr>
        <w:t>%</w:t>
      </w:r>
      <w:r>
        <w:rPr>
          <w:rFonts w:hint="eastAsia" w:ascii="仿宋_GB2312" w:hAnsi="宋体" w:eastAsia="仿宋_GB2312" w:cs="仿宋_GB2312"/>
          <w:sz w:val="32"/>
          <w:szCs w:val="32"/>
        </w:rPr>
        <w:t>；其他资本性支出</w:t>
      </w:r>
      <w:r>
        <w:rPr>
          <w:rFonts w:hint="eastAsia" w:ascii="仿宋_GB2312" w:hAnsi="宋体" w:eastAsia="仿宋_GB2312" w:cs="仿宋_GB2312"/>
          <w:sz w:val="32"/>
          <w:szCs w:val="32"/>
          <w:lang w:val="en-US" w:eastAsia="zh-CN"/>
        </w:rPr>
        <w:t>23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1.20</w:t>
      </w:r>
      <w:r>
        <w:rPr>
          <w:rFonts w:ascii="仿宋_GB2312" w:hAnsi="宋体" w:eastAsia="仿宋_GB2312" w:cs="仿宋_GB2312"/>
          <w:sz w:val="32"/>
          <w:szCs w:val="32"/>
        </w:rPr>
        <w:t>%</w:t>
      </w:r>
      <w:r>
        <w:rPr>
          <w:rFonts w:hint="eastAsia" w:ascii="仿宋_GB2312" w:hAnsi="宋体" w:eastAsia="仿宋_GB2312" w:cs="仿宋_GB2312"/>
          <w:sz w:val="32"/>
          <w:szCs w:val="32"/>
        </w:rPr>
        <w:t>；其他相关支出</w:t>
      </w:r>
      <w:r>
        <w:rPr>
          <w:rFonts w:hint="eastAsia" w:ascii="仿宋_GB2312" w:hAnsi="宋体" w:eastAsia="仿宋_GB2312" w:cs="仿宋_GB2312"/>
          <w:sz w:val="32"/>
          <w:szCs w:val="32"/>
          <w:lang w:val="en-US" w:eastAsia="zh-CN"/>
        </w:rPr>
        <w:t>18.15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0.95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发展和改革委员会财政拨款</w:t>
      </w:r>
      <w:r>
        <w:rPr>
          <w:rFonts w:hint="eastAsia" w:ascii="仿宋_GB2312" w:hAnsi="宋体" w:eastAsia="仿宋_GB2312" w:cs="仿宋_GB2312"/>
          <w:sz w:val="32"/>
          <w:szCs w:val="32"/>
        </w:rPr>
        <w:t>支出预算1780.82万元，占收入预算总额的</w:t>
      </w:r>
      <w:r>
        <w:rPr>
          <w:rFonts w:hint="eastAsia" w:ascii="仿宋_GB2312" w:hAnsi="宋体" w:eastAsia="仿宋_GB2312" w:cs="仿宋_GB2312"/>
          <w:sz w:val="32"/>
          <w:szCs w:val="32"/>
          <w:lang w:val="en-US" w:eastAsia="zh-CN"/>
        </w:rPr>
        <w:t>92.99</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46.59万元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主要原因为增人增资</w:t>
      </w:r>
      <w:r>
        <w:rPr>
          <w:rFonts w:hint="eastAsia" w:ascii="仿宋_GB2312" w:hAnsi="宋体" w:eastAsia="仿宋_GB2312" w:cs="仿宋_GB2312"/>
          <w:sz w:val="32"/>
          <w:szCs w:val="32"/>
        </w:rPr>
        <w:t>。具体支出情况是：</w:t>
      </w:r>
      <w:r>
        <w:rPr>
          <w:rFonts w:hint="eastAsia" w:ascii="仿宋_GB2312" w:hAnsi="仿宋_GB2312" w:eastAsia="仿宋_GB2312" w:cs="仿宋_GB2312"/>
          <w:sz w:val="32"/>
          <w:szCs w:val="32"/>
        </w:rPr>
        <w:t>一般公共服务支出1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507.12万元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占公共财政拨款支出预算的84.63%</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社会保障和就业支出102.57万元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占公共财政拨款支出预算的5.76%</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卫生健康支出97.12万元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占公共财政拨款支出预算的5.45%</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住房保障支出74.01万元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占公共财政拨款支出预算的4.16%</w:t>
      </w:r>
      <w:r>
        <w:rPr>
          <w:rFonts w:hint="eastAsia" w:ascii="仿宋_GB2312" w:hAnsi="仿宋_GB2312" w:eastAsia="仿宋_GB2312" w:cs="仿宋_GB2312"/>
          <w:sz w:val="32"/>
          <w:szCs w:val="32"/>
          <w:lang w:eastAsia="zh-CN"/>
        </w:rPr>
        <w:t>。</w:t>
      </w:r>
    </w:p>
    <w:p>
      <w:pPr>
        <w:ind w:firstLine="640" w:firstLineChars="200"/>
        <w:rPr>
          <w:rFonts w:ascii="仿宋_GB2312" w:eastAsia="仿宋_GB2312" w:cs="Times New Roman"/>
          <w:sz w:val="32"/>
          <w:szCs w:val="32"/>
        </w:rPr>
      </w:pP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2020年政府采购预算为1</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其中:部门集中采购1</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.00万元</w:t>
      </w:r>
      <w:r>
        <w:rPr>
          <w:rFonts w:hint="eastAsia" w:ascii="仿宋_GB2312" w:hAnsi="仿宋_GB2312" w:eastAsia="仿宋_GB2312" w:cs="仿宋_GB2312"/>
          <w:sz w:val="32"/>
          <w:szCs w:val="32"/>
          <w:lang w:eastAsia="zh-CN"/>
        </w:rPr>
        <w:t>。</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tabs>
          <w:tab w:val="left" w:pos="1113"/>
        </w:tabs>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eastAsia="zh-CN"/>
        </w:rPr>
        <w:t>发展和改革委员会</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47.29</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15</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25.7</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0.9</w:t>
      </w:r>
      <w:r>
        <w:rPr>
          <w:rFonts w:hint="eastAsia" w:ascii="仿宋_GB2312" w:hAnsi="宋体" w:eastAsia="仿宋_GB2312" w:cs="仿宋_GB2312"/>
          <w:sz w:val="32"/>
          <w:szCs w:val="32"/>
        </w:rPr>
        <w:t>万元，主要原因：</w:t>
      </w:r>
      <w:r>
        <w:rPr>
          <w:rFonts w:hint="eastAsia" w:ascii="仿宋_GB2312" w:eastAsia="仿宋_GB2312" w:cs="仿宋_GB2312"/>
          <w:sz w:val="32"/>
          <w:szCs w:val="32"/>
          <w:lang w:eastAsia="zh-CN"/>
        </w:rPr>
        <w:t>资源转型办、价格认证中心、节能中心三家单位</w:t>
      </w:r>
      <w:r>
        <w:rPr>
          <w:rFonts w:hint="eastAsia" w:ascii="仿宋_GB2312" w:eastAsia="仿宋_GB2312" w:cs="仿宋_GB2312"/>
          <w:sz w:val="32"/>
          <w:szCs w:val="32"/>
          <w:lang w:val="en-US" w:eastAsia="zh-CN"/>
        </w:rPr>
        <w:t>2020年申报了公务接待费预算0.9万而2019年没有申报此项预算</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6.59</w:t>
      </w:r>
      <w:r>
        <w:rPr>
          <w:rFonts w:hint="eastAsia" w:ascii="仿宋_GB2312" w:hAnsi="宋体" w:eastAsia="仿宋_GB2312" w:cs="仿宋_GB2312"/>
          <w:sz w:val="32"/>
          <w:szCs w:val="32"/>
        </w:rPr>
        <w:t>万元，比上年</w:t>
      </w:r>
      <w:r>
        <w:rPr>
          <w:rFonts w:hint="eastAsia" w:ascii="仿宋_GB2312" w:hAnsi="宋体" w:eastAsia="仿宋_GB2312" w:cs="仿宋_GB2312"/>
          <w:sz w:val="32"/>
          <w:szCs w:val="32"/>
          <w:lang w:eastAsia="zh-CN"/>
        </w:rPr>
        <w:t>减少了</w:t>
      </w:r>
      <w:r>
        <w:rPr>
          <w:rFonts w:hint="eastAsia" w:ascii="仿宋_GB2312" w:hAnsi="宋体" w:eastAsia="仿宋_GB2312" w:cs="仿宋_GB2312"/>
          <w:sz w:val="32"/>
          <w:szCs w:val="32"/>
          <w:lang w:val="en-US" w:eastAsia="zh-CN"/>
        </w:rPr>
        <w:t>2.41</w:t>
      </w:r>
      <w:r>
        <w:rPr>
          <w:rFonts w:hint="eastAsia" w:ascii="仿宋_GB2312" w:hAnsi="宋体" w:eastAsia="仿宋_GB2312" w:cs="仿宋_GB2312"/>
          <w:sz w:val="32"/>
          <w:szCs w:val="32"/>
        </w:rPr>
        <w:t>万元，主要原因：</w:t>
      </w:r>
      <w:r>
        <w:rPr>
          <w:rFonts w:hint="eastAsia" w:ascii="仿宋_GB2312" w:eastAsia="仿宋_GB2312" w:cs="仿宋_GB2312"/>
          <w:sz w:val="32"/>
          <w:szCs w:val="32"/>
          <w:lang w:eastAsia="zh-CN"/>
        </w:rPr>
        <w:t>资源转型办公车上缴减少了此项预算</w:t>
      </w:r>
      <w:r>
        <w:rPr>
          <w:rFonts w:hint="eastAsia" w:ascii="仿宋_GB2312" w:hAnsi="宋体" w:eastAsia="仿宋_GB2312" w:cs="仿宋_GB2312"/>
          <w:sz w:val="32"/>
          <w:szCs w:val="32"/>
        </w:rPr>
        <w:t>。</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 xml:space="preserve"> </w:t>
      </w:r>
      <w:r>
        <w:rPr>
          <w:rFonts w:hint="eastAsia" w:ascii="黑体" w:hAnsi="宋体" w:eastAsia="黑体" w:cs="黑体"/>
          <w:sz w:val="32"/>
          <w:szCs w:val="32"/>
          <w:lang w:eastAsia="zh-CN"/>
        </w:rPr>
        <w:t>发展和改革委员会</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2011105派驻派出机构：反映由纪检监察部门负担的派驻各部门和单位的纪检监察人员的专项业务支出。</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2010401行政运行：反映行政单位（包括实行公务员管理的事业单位）的基本支出。</w:t>
      </w:r>
    </w:p>
    <w:p>
      <w:pPr>
        <w:widowControl/>
        <w:spacing w:line="600" w:lineRule="exact"/>
        <w:ind w:firstLine="64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2010408物价管理：反映物价管理方面的支出。</w:t>
      </w:r>
    </w:p>
    <w:p>
      <w:pPr>
        <w:widowControl/>
        <w:spacing w:line="600" w:lineRule="exact"/>
        <w:ind w:firstLine="64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2010450事业运行：反映事业单位的基本支出，不包括行政单位（包括实行公务员管理的事业单位）后勤服务中心、医务室等附属事业单位。</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2080505机关事业单位基本养老保险缴费支出：反映机关事业单位实施养老保险制度由单位缴纳的基本养老保险费支出。</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2101101行政单位医疗：反映财政部门安排的行政单位包括实行公务员管理的事业单位）基本医疗保险缴费经费，未参加医疗保险的行政单位的公费医疗经费，按国家规定享受离休人员、红军老战士待遇人员的医疗经费。</w:t>
      </w:r>
    </w:p>
    <w:p>
      <w:pPr>
        <w:widowControl/>
        <w:spacing w:line="600" w:lineRule="exact"/>
        <w:ind w:firstLine="64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2101102事业单位医疗：反映财政部门安排的事业单位基本医疗保险缴费经费，未参加医疗保险的事业单位的公费医疗经费，按国家规定享受离休人员的医疗经费。</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2101103公务员医疗补助：反映财政部门安排的公务员医疗补助经费。</w:t>
      </w:r>
    </w:p>
    <w:p>
      <w:pPr>
        <w:widowControl/>
        <w:spacing w:line="600" w:lineRule="exact"/>
        <w:ind w:firstLine="640"/>
        <w:jc w:val="left"/>
        <w:rPr>
          <w:rFonts w:hint="eastAsia" w:ascii="仿宋_GB2312" w:eastAsia="仿宋_GB2312"/>
          <w:color w:val="000000"/>
          <w:sz w:val="32"/>
          <w:szCs w:val="30"/>
          <w:lang w:val="en-US" w:eastAsia="zh-CN"/>
        </w:rPr>
      </w:pPr>
      <w:r>
        <w:rPr>
          <w:rFonts w:hint="eastAsia" w:ascii="仿宋_GB2312" w:eastAsia="仿宋_GB2312"/>
          <w:color w:val="000000"/>
          <w:sz w:val="32"/>
          <w:szCs w:val="30"/>
          <w:lang w:val="en-US" w:eastAsia="zh-CN"/>
        </w:rPr>
        <w:t>2011199其他行政事业单位医疗支出：反映除上述项目以外的其他用于行政事业单位医疗方面的支出。</w:t>
      </w:r>
    </w:p>
    <w:p>
      <w:pPr>
        <w:widowControl/>
        <w:spacing w:line="600" w:lineRule="exact"/>
        <w:ind w:firstLine="64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lang w:val="en-US" w:eastAsia="zh-CN"/>
        </w:rPr>
        <w:t>2210201住房公积金：反映行政单位按人力资源和社会保障部、财政部规定的基本工资和津贴以及规定比例为职工缴纳的住房公积金。</w:t>
      </w:r>
    </w:p>
    <w:p>
      <w:pPr>
        <w:rPr>
          <w:rFonts w:ascii="仿宋_GB2312" w:eastAsia="仿宋_GB2312" w:cs="Times New Roman"/>
          <w:sz w:val="32"/>
          <w:szCs w:val="32"/>
        </w:rPr>
      </w:pPr>
    </w:p>
    <w:p>
      <w:pPr>
        <w:rPr>
          <w:rFonts w:ascii="仿宋_GB2312" w:eastAsia="仿宋_GB2312" w:cs="Times New Roman"/>
          <w:sz w:val="32"/>
          <w:szCs w:val="3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Fonts w:cs="Times New Roman"/>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3"/>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4C035C"/>
    <w:rsid w:val="2C741BA3"/>
    <w:rsid w:val="764C03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page number"/>
    <w:basedOn w:val="5"/>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2020-06-13T02:04:00Z</dcterms:created>
  <dc:creator>华佗</dc:creator>
  <cp:lastModifiedBy>华佗</cp:lastModifiedBy>
  <dcterms:modified xsi:type="dcterms:W3CDTF">2020-06-13T02:57:46Z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